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94ED" w14:textId="77777777" w:rsidR="00430224" w:rsidRPr="00616E71" w:rsidRDefault="00430224" w:rsidP="001F444E">
      <w:pPr>
        <w:spacing w:after="0"/>
        <w:rPr>
          <w:sz w:val="36"/>
          <w:szCs w:val="36"/>
        </w:rPr>
      </w:pPr>
      <w:r>
        <w:rPr>
          <w:sz w:val="36"/>
          <w:szCs w:val="36"/>
        </w:rPr>
        <w:t>Indicators of an Engaged Campus</w:t>
      </w:r>
      <w:r>
        <w:rPr>
          <w:sz w:val="36"/>
          <w:szCs w:val="36"/>
        </w:rPr>
        <w:br/>
      </w:r>
      <w:r w:rsidRPr="00616E71">
        <w:t>(</w:t>
      </w:r>
      <w:r w:rsidR="008C6B69">
        <w:t xml:space="preserve">Based on work done by E. </w:t>
      </w:r>
      <w:r w:rsidRPr="00616E71">
        <w:t xml:space="preserve">Hollander, </w:t>
      </w:r>
      <w:r w:rsidR="008C6B69">
        <w:t xml:space="preserve">J. </w:t>
      </w:r>
      <w:r w:rsidRPr="00616E71">
        <w:t xml:space="preserve">Saltmarsh, and </w:t>
      </w:r>
      <w:r w:rsidR="008C6B69">
        <w:t xml:space="preserve">E. </w:t>
      </w:r>
      <w:proofErr w:type="spellStart"/>
      <w:r w:rsidRPr="00616E71">
        <w:t>Zlotkowski</w:t>
      </w:r>
      <w:proofErr w:type="spellEnd"/>
      <w:r w:rsidRPr="00616E71">
        <w:t xml:space="preserve">, 2001; </w:t>
      </w:r>
      <w:r w:rsidR="009B07F6">
        <w:t>and Barbara Holland</w:t>
      </w:r>
      <w:r w:rsidR="009F642C">
        <w:t>, 2006</w:t>
      </w:r>
      <w:r w:rsidRPr="00616E71">
        <w:t>)</w:t>
      </w:r>
      <w:r>
        <w:rPr>
          <w:sz w:val="36"/>
          <w:szCs w:val="36"/>
        </w:rPr>
        <w:br/>
      </w:r>
      <w:r w:rsidRPr="007B526E">
        <w:rPr>
          <w:i/>
          <w:sz w:val="18"/>
          <w:szCs w:val="18"/>
        </w:rPr>
        <w:t xml:space="preserve">Any of the characteristics of wider institutional engagement, occurring in concert with other characteristics on a campus, suggests the emergence of an “engaged campus.” However, it is unlikely that all characteristics will be apparent on any one campus. These characteristics should not be regarded as prescriptive; their value lies in the possibilities they suggest. </w:t>
      </w:r>
    </w:p>
    <w:tbl>
      <w:tblPr>
        <w:tblStyle w:val="TableGrid"/>
        <w:tblpPr w:leftFromText="180" w:rightFromText="180" w:vertAnchor="page" w:horzAnchor="margin" w:tblpY="2365"/>
        <w:tblW w:w="14508" w:type="dxa"/>
        <w:tblLayout w:type="fixed"/>
        <w:tblLook w:val="04A0" w:firstRow="1" w:lastRow="0" w:firstColumn="1" w:lastColumn="0" w:noHBand="0" w:noVBand="1"/>
      </w:tblPr>
      <w:tblGrid>
        <w:gridCol w:w="1908"/>
        <w:gridCol w:w="8010"/>
        <w:gridCol w:w="1800"/>
        <w:gridCol w:w="2790"/>
      </w:tblGrid>
      <w:tr w:rsidR="008C6B69" w:rsidRPr="00616E71" w14:paraId="74AD7141" w14:textId="77777777" w:rsidTr="009F642C">
        <w:tc>
          <w:tcPr>
            <w:tcW w:w="1908" w:type="dxa"/>
            <w:shd w:val="clear" w:color="auto" w:fill="9BBB59" w:themeFill="accent3"/>
          </w:tcPr>
          <w:p w14:paraId="0467FE20" w14:textId="77777777" w:rsidR="008C6B69" w:rsidRPr="00616E71" w:rsidRDefault="008C6B69" w:rsidP="008C6B69">
            <w:pPr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8010" w:type="dxa"/>
            <w:shd w:val="clear" w:color="auto" w:fill="9BBB59" w:themeFill="accent3"/>
          </w:tcPr>
          <w:p w14:paraId="248CC3AE" w14:textId="77777777" w:rsidR="008C6B69" w:rsidRPr="00616E71" w:rsidRDefault="008C6B69" w:rsidP="008C6B69">
            <w:pPr>
              <w:rPr>
                <w:b/>
              </w:rPr>
            </w:pPr>
            <w:r w:rsidRPr="00616E71">
              <w:rPr>
                <w:b/>
              </w:rPr>
              <w:t>Indicator</w:t>
            </w:r>
          </w:p>
        </w:tc>
        <w:tc>
          <w:tcPr>
            <w:tcW w:w="1800" w:type="dxa"/>
            <w:shd w:val="clear" w:color="auto" w:fill="9BBB59" w:themeFill="accent3"/>
          </w:tcPr>
          <w:p w14:paraId="473BAA93" w14:textId="77777777" w:rsidR="008C6B69" w:rsidRPr="00616E71" w:rsidRDefault="008C6B69" w:rsidP="008C6B69">
            <w:pPr>
              <w:rPr>
                <w:b/>
              </w:rPr>
            </w:pPr>
            <w:r>
              <w:rPr>
                <w:b/>
              </w:rPr>
              <w:t>Ranking 1-4</w:t>
            </w:r>
            <w:r>
              <w:rPr>
                <w:b/>
              </w:rPr>
              <w:br/>
            </w:r>
            <w:r>
              <w:rPr>
                <w:b/>
                <w:sz w:val="18"/>
                <w:szCs w:val="18"/>
              </w:rPr>
              <w:t>1: Low relevance</w:t>
            </w:r>
            <w:r>
              <w:rPr>
                <w:b/>
                <w:sz w:val="18"/>
                <w:szCs w:val="18"/>
              </w:rPr>
              <w:br/>
              <w:t>4</w:t>
            </w:r>
            <w:r w:rsidRPr="007B526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Full integration</w:t>
            </w:r>
          </w:p>
        </w:tc>
        <w:tc>
          <w:tcPr>
            <w:tcW w:w="2790" w:type="dxa"/>
            <w:shd w:val="clear" w:color="auto" w:fill="9BBB59" w:themeFill="accent3"/>
          </w:tcPr>
          <w:p w14:paraId="570BA45D" w14:textId="77777777" w:rsidR="008C6B69" w:rsidRDefault="008C6B69" w:rsidP="008C6B69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C6B69" w:rsidRPr="00616E71" w14:paraId="0E059B9F" w14:textId="77777777" w:rsidTr="009F642C">
        <w:tc>
          <w:tcPr>
            <w:tcW w:w="1908" w:type="dxa"/>
            <w:vMerge w:val="restart"/>
          </w:tcPr>
          <w:p w14:paraId="3CDEB2EA" w14:textId="77777777" w:rsidR="008C6B69" w:rsidRPr="00616E71" w:rsidRDefault="008C6B69" w:rsidP="008C6B69">
            <w:r>
              <w:t>Mission and Leadership</w:t>
            </w:r>
          </w:p>
        </w:tc>
        <w:tc>
          <w:tcPr>
            <w:tcW w:w="8010" w:type="dxa"/>
          </w:tcPr>
          <w:p w14:paraId="46828EDA" w14:textId="77777777" w:rsidR="008C6B69" w:rsidRPr="00616E71" w:rsidRDefault="008C6B69" w:rsidP="009F642C">
            <w:r w:rsidRPr="00616E71">
              <w:t xml:space="preserve">1) Mission and purpose </w:t>
            </w:r>
            <w:r w:rsidR="009F642C">
              <w:t xml:space="preserve">that </w:t>
            </w:r>
            <w:r w:rsidRPr="00616E71">
              <w:t>explicitly articulates a commitment to the public purposes of higher education.</w:t>
            </w:r>
          </w:p>
        </w:tc>
        <w:tc>
          <w:tcPr>
            <w:tcW w:w="1800" w:type="dxa"/>
          </w:tcPr>
          <w:p w14:paraId="19AF24DA" w14:textId="77777777" w:rsidR="008C6B69" w:rsidRPr="00616E71" w:rsidRDefault="008C6B69" w:rsidP="008C6B69"/>
        </w:tc>
        <w:tc>
          <w:tcPr>
            <w:tcW w:w="2790" w:type="dxa"/>
          </w:tcPr>
          <w:p w14:paraId="6F2588FF" w14:textId="77777777" w:rsidR="008C6B69" w:rsidRPr="00616E71" w:rsidRDefault="008C6B69" w:rsidP="008C6B69"/>
        </w:tc>
      </w:tr>
      <w:tr w:rsidR="008C6B69" w:rsidRPr="00616E71" w14:paraId="5D2AA912" w14:textId="77777777" w:rsidTr="009F642C">
        <w:tc>
          <w:tcPr>
            <w:tcW w:w="1908" w:type="dxa"/>
            <w:vMerge/>
          </w:tcPr>
          <w:p w14:paraId="082FD558" w14:textId="77777777" w:rsidR="008C6B69" w:rsidRPr="00616E71" w:rsidRDefault="008C6B69" w:rsidP="008C6B69"/>
        </w:tc>
        <w:tc>
          <w:tcPr>
            <w:tcW w:w="8010" w:type="dxa"/>
          </w:tcPr>
          <w:p w14:paraId="2E183563" w14:textId="77777777" w:rsidR="008C6B69" w:rsidRPr="00616E71" w:rsidRDefault="008C6B69" w:rsidP="008C6B69">
            <w:r w:rsidRPr="00616E71">
              <w:t>2) Administrative and academic leadership (president, trustees, provost) that is in the forefront of institutional transformation that supports civic engagement.</w:t>
            </w:r>
          </w:p>
        </w:tc>
        <w:tc>
          <w:tcPr>
            <w:tcW w:w="1800" w:type="dxa"/>
          </w:tcPr>
          <w:p w14:paraId="71C4D514" w14:textId="77777777" w:rsidR="008C6B69" w:rsidRPr="00616E71" w:rsidRDefault="008C6B69" w:rsidP="008C6B69"/>
        </w:tc>
        <w:tc>
          <w:tcPr>
            <w:tcW w:w="2790" w:type="dxa"/>
          </w:tcPr>
          <w:p w14:paraId="272F505C" w14:textId="77777777" w:rsidR="008C6B69" w:rsidRPr="00616E71" w:rsidRDefault="008C6B69" w:rsidP="008C6B69"/>
        </w:tc>
      </w:tr>
      <w:tr w:rsidR="006070F5" w:rsidRPr="00616E71" w14:paraId="5DBF92C1" w14:textId="77777777" w:rsidTr="009F642C">
        <w:tc>
          <w:tcPr>
            <w:tcW w:w="1908" w:type="dxa"/>
            <w:vMerge w:val="restart"/>
          </w:tcPr>
          <w:p w14:paraId="48A4F49A" w14:textId="77777777" w:rsidR="006070F5" w:rsidRPr="00616E71" w:rsidRDefault="006070F5" w:rsidP="008C6B69">
            <w:r>
              <w:t>Organization, Structure and Funding</w:t>
            </w:r>
          </w:p>
        </w:tc>
        <w:tc>
          <w:tcPr>
            <w:tcW w:w="8010" w:type="dxa"/>
          </w:tcPr>
          <w:p w14:paraId="7B488259" w14:textId="77777777" w:rsidR="006070F5" w:rsidRPr="00616E71" w:rsidRDefault="006070F5" w:rsidP="009F642C">
            <w:r>
              <w:t>3</w:t>
            </w:r>
            <w:r w:rsidRPr="00616E71">
              <w:t>) Internal resource allocation adequate for establishing, enhancing, and deepening community-based work on campus – for faculty, students, and programs that involve community partners.</w:t>
            </w:r>
          </w:p>
        </w:tc>
        <w:tc>
          <w:tcPr>
            <w:tcW w:w="1800" w:type="dxa"/>
          </w:tcPr>
          <w:p w14:paraId="27BD7856" w14:textId="77777777" w:rsidR="006070F5" w:rsidRPr="00616E71" w:rsidRDefault="006070F5" w:rsidP="008C6B69"/>
        </w:tc>
        <w:tc>
          <w:tcPr>
            <w:tcW w:w="2790" w:type="dxa"/>
          </w:tcPr>
          <w:p w14:paraId="2ABE3337" w14:textId="77777777" w:rsidR="006070F5" w:rsidRPr="00616E71" w:rsidRDefault="006070F5" w:rsidP="008C6B69"/>
        </w:tc>
      </w:tr>
      <w:tr w:rsidR="006070F5" w:rsidRPr="00616E71" w14:paraId="1CD0217C" w14:textId="77777777" w:rsidTr="009F642C">
        <w:tc>
          <w:tcPr>
            <w:tcW w:w="1908" w:type="dxa"/>
            <w:vMerge/>
          </w:tcPr>
          <w:p w14:paraId="196DE4C9" w14:textId="77777777" w:rsidR="006070F5" w:rsidRPr="00616E71" w:rsidRDefault="006070F5" w:rsidP="006070F5"/>
        </w:tc>
        <w:tc>
          <w:tcPr>
            <w:tcW w:w="8010" w:type="dxa"/>
          </w:tcPr>
          <w:p w14:paraId="27EEB15D" w14:textId="77777777" w:rsidR="006070F5" w:rsidRPr="00616E71" w:rsidRDefault="006070F5" w:rsidP="006070F5">
            <w:r>
              <w:t>4</w:t>
            </w:r>
            <w:r w:rsidRPr="00616E71">
              <w:t xml:space="preserve">) </w:t>
            </w:r>
            <w:r>
              <w:t xml:space="preserve">Resources </w:t>
            </w:r>
            <w:r w:rsidRPr="00616E71">
              <w:t>made available for community partners to create richer learning environments for students and for community-building efforts in local neighborhoods.</w:t>
            </w:r>
          </w:p>
        </w:tc>
        <w:tc>
          <w:tcPr>
            <w:tcW w:w="1800" w:type="dxa"/>
          </w:tcPr>
          <w:p w14:paraId="0B16F50F" w14:textId="77777777" w:rsidR="006070F5" w:rsidRPr="00616E71" w:rsidRDefault="006070F5" w:rsidP="006070F5"/>
        </w:tc>
        <w:tc>
          <w:tcPr>
            <w:tcW w:w="2790" w:type="dxa"/>
          </w:tcPr>
          <w:p w14:paraId="0AC403BD" w14:textId="77777777" w:rsidR="006070F5" w:rsidRPr="00616E71" w:rsidRDefault="006070F5" w:rsidP="006070F5"/>
        </w:tc>
      </w:tr>
      <w:tr w:rsidR="006070F5" w:rsidRPr="00616E71" w14:paraId="65A84BDF" w14:textId="77777777" w:rsidTr="009F642C">
        <w:tc>
          <w:tcPr>
            <w:tcW w:w="1908" w:type="dxa"/>
            <w:vMerge/>
          </w:tcPr>
          <w:p w14:paraId="77A151E2" w14:textId="77777777" w:rsidR="006070F5" w:rsidRPr="00616E71" w:rsidRDefault="006070F5" w:rsidP="006070F5"/>
        </w:tc>
        <w:tc>
          <w:tcPr>
            <w:tcW w:w="8010" w:type="dxa"/>
          </w:tcPr>
          <w:p w14:paraId="02CF4204" w14:textId="77777777" w:rsidR="006070F5" w:rsidRPr="00616E71" w:rsidRDefault="006070F5" w:rsidP="006070F5">
            <w:r>
              <w:t>5</w:t>
            </w:r>
            <w:r w:rsidRPr="00616E71">
              <w:t xml:space="preserve">) </w:t>
            </w:r>
            <w:r>
              <w:t>V</w:t>
            </w:r>
            <w:r w:rsidRPr="00616E71">
              <w:t>isible and easily accessible structures (i.e., centers, offices) on campus to assist faculty with community-based teaching and to broker community partnerships.</w:t>
            </w:r>
          </w:p>
        </w:tc>
        <w:tc>
          <w:tcPr>
            <w:tcW w:w="1800" w:type="dxa"/>
          </w:tcPr>
          <w:p w14:paraId="6424511E" w14:textId="77777777" w:rsidR="006070F5" w:rsidRPr="00616E71" w:rsidRDefault="006070F5" w:rsidP="006070F5"/>
        </w:tc>
        <w:tc>
          <w:tcPr>
            <w:tcW w:w="2790" w:type="dxa"/>
          </w:tcPr>
          <w:p w14:paraId="6048D88C" w14:textId="77777777" w:rsidR="006070F5" w:rsidRPr="00616E71" w:rsidRDefault="006070F5" w:rsidP="006070F5"/>
        </w:tc>
      </w:tr>
      <w:tr w:rsidR="006070F5" w:rsidRPr="00616E71" w14:paraId="0AC38AC1" w14:textId="77777777" w:rsidTr="009F642C">
        <w:tc>
          <w:tcPr>
            <w:tcW w:w="1908" w:type="dxa"/>
            <w:vMerge/>
          </w:tcPr>
          <w:p w14:paraId="0473A220" w14:textId="77777777" w:rsidR="006070F5" w:rsidRPr="00616E71" w:rsidRDefault="006070F5" w:rsidP="006070F5"/>
        </w:tc>
        <w:tc>
          <w:tcPr>
            <w:tcW w:w="8010" w:type="dxa"/>
          </w:tcPr>
          <w:p w14:paraId="631F5F9E" w14:textId="77777777" w:rsidR="006070F5" w:rsidRPr="00616E71" w:rsidRDefault="006070F5" w:rsidP="007F153D">
            <w:r>
              <w:t>6</w:t>
            </w:r>
            <w:r w:rsidRPr="00616E71">
              <w:t>) Integrated and complementary community service activities that weave t</w:t>
            </w:r>
            <w:r w:rsidR="007F153D">
              <w:t xml:space="preserve">ogether student service, student leadership, service </w:t>
            </w:r>
            <w:r w:rsidRPr="00616E71">
              <w:t>learning and other community engagement activities on campus.</w:t>
            </w:r>
          </w:p>
        </w:tc>
        <w:tc>
          <w:tcPr>
            <w:tcW w:w="1800" w:type="dxa"/>
          </w:tcPr>
          <w:p w14:paraId="45A420DE" w14:textId="77777777" w:rsidR="006070F5" w:rsidRPr="00616E71" w:rsidRDefault="006070F5" w:rsidP="006070F5"/>
        </w:tc>
        <w:tc>
          <w:tcPr>
            <w:tcW w:w="2790" w:type="dxa"/>
          </w:tcPr>
          <w:p w14:paraId="448DB0C7" w14:textId="77777777" w:rsidR="006070F5" w:rsidRPr="00616E71" w:rsidRDefault="006070F5" w:rsidP="006070F5"/>
        </w:tc>
      </w:tr>
      <w:tr w:rsidR="009F642C" w:rsidRPr="00616E71" w14:paraId="1F8BD630" w14:textId="77777777" w:rsidTr="009F642C">
        <w:tc>
          <w:tcPr>
            <w:tcW w:w="1908" w:type="dxa"/>
            <w:vMerge w:val="restart"/>
          </w:tcPr>
          <w:p w14:paraId="0AAEB408" w14:textId="77777777" w:rsidR="009F642C" w:rsidRPr="00616E71" w:rsidRDefault="009F642C" w:rsidP="008C6B69">
            <w:r>
              <w:t>Student Involvement and Curriculum</w:t>
            </w:r>
          </w:p>
        </w:tc>
        <w:tc>
          <w:tcPr>
            <w:tcW w:w="8010" w:type="dxa"/>
          </w:tcPr>
          <w:p w14:paraId="6B3D46EF" w14:textId="77777777" w:rsidR="009F642C" w:rsidRPr="00616E71" w:rsidRDefault="009F642C" w:rsidP="007F153D">
            <w:r>
              <w:t>7</w:t>
            </w:r>
            <w:r w:rsidRPr="00616E71">
              <w:t>)</w:t>
            </w:r>
            <w:r w:rsidR="007F153D">
              <w:t xml:space="preserve"> Organized institutional support for student volunteer activity and community leadership development</w:t>
            </w:r>
            <w:r>
              <w:t>.</w:t>
            </w:r>
          </w:p>
        </w:tc>
        <w:tc>
          <w:tcPr>
            <w:tcW w:w="1800" w:type="dxa"/>
          </w:tcPr>
          <w:p w14:paraId="28D72939" w14:textId="77777777" w:rsidR="009F642C" w:rsidRPr="00616E71" w:rsidRDefault="009F642C" w:rsidP="008C6B69"/>
        </w:tc>
        <w:tc>
          <w:tcPr>
            <w:tcW w:w="2790" w:type="dxa"/>
          </w:tcPr>
          <w:p w14:paraId="615546D9" w14:textId="77777777" w:rsidR="009F642C" w:rsidRPr="00616E71" w:rsidRDefault="009F642C" w:rsidP="008C6B69"/>
        </w:tc>
      </w:tr>
      <w:tr w:rsidR="009F642C" w:rsidRPr="00616E71" w14:paraId="6FB9F15B" w14:textId="77777777" w:rsidTr="009F642C">
        <w:tc>
          <w:tcPr>
            <w:tcW w:w="1908" w:type="dxa"/>
            <w:vMerge/>
          </w:tcPr>
          <w:p w14:paraId="52A4C3BB" w14:textId="77777777" w:rsidR="009F642C" w:rsidRDefault="009F642C" w:rsidP="009F642C"/>
        </w:tc>
        <w:tc>
          <w:tcPr>
            <w:tcW w:w="8010" w:type="dxa"/>
          </w:tcPr>
          <w:p w14:paraId="15F5C40A" w14:textId="77777777" w:rsidR="009F642C" w:rsidRPr="00616E71" w:rsidRDefault="009F642C" w:rsidP="007F153D">
            <w:r>
              <w:t>8</w:t>
            </w:r>
            <w:r w:rsidRPr="00616E71">
              <w:t xml:space="preserve">) </w:t>
            </w:r>
            <w:r w:rsidR="007F153D">
              <w:t xml:space="preserve">Courses exist that </w:t>
            </w:r>
            <w:r w:rsidRPr="00616E71">
              <w:t>incorporate a community-based, public problem-solving ap</w:t>
            </w:r>
            <w:r w:rsidR="007F153D">
              <w:t>proach to teaching and learning linked to course learning goals.</w:t>
            </w:r>
          </w:p>
        </w:tc>
        <w:tc>
          <w:tcPr>
            <w:tcW w:w="1800" w:type="dxa"/>
          </w:tcPr>
          <w:p w14:paraId="106E64B7" w14:textId="77777777" w:rsidR="009F642C" w:rsidRPr="00616E71" w:rsidRDefault="009F642C" w:rsidP="009F642C">
            <w:pPr>
              <w:jc w:val="center"/>
            </w:pPr>
          </w:p>
        </w:tc>
        <w:tc>
          <w:tcPr>
            <w:tcW w:w="2790" w:type="dxa"/>
          </w:tcPr>
          <w:p w14:paraId="761A72FB" w14:textId="77777777" w:rsidR="009F642C" w:rsidRPr="00616E71" w:rsidRDefault="009F642C" w:rsidP="009F642C">
            <w:pPr>
              <w:jc w:val="center"/>
            </w:pPr>
          </w:p>
        </w:tc>
      </w:tr>
      <w:tr w:rsidR="009F642C" w:rsidRPr="00616E71" w14:paraId="76C7D0BB" w14:textId="77777777" w:rsidTr="009F642C">
        <w:tc>
          <w:tcPr>
            <w:tcW w:w="1908" w:type="dxa"/>
            <w:vMerge w:val="restart"/>
          </w:tcPr>
          <w:p w14:paraId="4B6D18BC" w14:textId="77777777" w:rsidR="009F642C" w:rsidRPr="00616E71" w:rsidRDefault="009F642C" w:rsidP="009F642C">
            <w:r>
              <w:t>Community Involvement</w:t>
            </w:r>
          </w:p>
        </w:tc>
        <w:tc>
          <w:tcPr>
            <w:tcW w:w="8010" w:type="dxa"/>
          </w:tcPr>
          <w:p w14:paraId="335AB4B2" w14:textId="77777777" w:rsidR="009F642C" w:rsidRPr="00616E71" w:rsidRDefault="009F642C" w:rsidP="009F642C">
            <w:r>
              <w:t>9</w:t>
            </w:r>
            <w:r w:rsidRPr="00616E71">
              <w:t>) Community voice that deepens the role of community partners in contributing to community-based education and shaping outcomes that benefit the community.</w:t>
            </w:r>
          </w:p>
        </w:tc>
        <w:tc>
          <w:tcPr>
            <w:tcW w:w="1800" w:type="dxa"/>
          </w:tcPr>
          <w:p w14:paraId="39D2E6AF" w14:textId="77777777" w:rsidR="009F642C" w:rsidRPr="00616E71" w:rsidRDefault="009F642C" w:rsidP="009F642C"/>
        </w:tc>
        <w:tc>
          <w:tcPr>
            <w:tcW w:w="2790" w:type="dxa"/>
          </w:tcPr>
          <w:p w14:paraId="6AE88F21" w14:textId="77777777" w:rsidR="009F642C" w:rsidRPr="00616E71" w:rsidRDefault="009F642C" w:rsidP="009F642C"/>
        </w:tc>
      </w:tr>
      <w:tr w:rsidR="009F642C" w:rsidRPr="00616E71" w14:paraId="3489C4DA" w14:textId="77777777" w:rsidTr="009F642C">
        <w:tc>
          <w:tcPr>
            <w:tcW w:w="1908" w:type="dxa"/>
            <w:vMerge/>
          </w:tcPr>
          <w:p w14:paraId="6A9F9DED" w14:textId="77777777" w:rsidR="009F642C" w:rsidRPr="00616E71" w:rsidRDefault="009F642C" w:rsidP="009F642C"/>
        </w:tc>
        <w:tc>
          <w:tcPr>
            <w:tcW w:w="8010" w:type="dxa"/>
          </w:tcPr>
          <w:p w14:paraId="087A8104" w14:textId="77777777" w:rsidR="009F642C" w:rsidRPr="00616E71" w:rsidRDefault="009F642C" w:rsidP="0094696C">
            <w:r>
              <w:t>10</w:t>
            </w:r>
            <w:r w:rsidRPr="00616E71">
              <w:t xml:space="preserve">) </w:t>
            </w:r>
            <w:r w:rsidR="0094696C">
              <w:t xml:space="preserve">Opportunities </w:t>
            </w:r>
            <w:r w:rsidR="00CF7024">
              <w:t>for fostering public dialogue</w:t>
            </w:r>
            <w:r w:rsidRPr="00616E71">
              <w:t xml:space="preserve"> are created that include multiple stakeholders in public problem-solving.</w:t>
            </w:r>
          </w:p>
        </w:tc>
        <w:tc>
          <w:tcPr>
            <w:tcW w:w="1800" w:type="dxa"/>
          </w:tcPr>
          <w:p w14:paraId="5EB429DA" w14:textId="77777777" w:rsidR="009F642C" w:rsidRPr="00616E71" w:rsidRDefault="009F642C" w:rsidP="009F642C"/>
        </w:tc>
        <w:tc>
          <w:tcPr>
            <w:tcW w:w="2790" w:type="dxa"/>
          </w:tcPr>
          <w:p w14:paraId="40B68143" w14:textId="77777777" w:rsidR="009F642C" w:rsidRPr="00616E71" w:rsidRDefault="009F642C" w:rsidP="009F642C"/>
        </w:tc>
      </w:tr>
      <w:tr w:rsidR="009F642C" w:rsidRPr="00616E71" w14:paraId="019B42F5" w14:textId="77777777" w:rsidTr="009F642C">
        <w:tc>
          <w:tcPr>
            <w:tcW w:w="1908" w:type="dxa"/>
            <w:vMerge w:val="restart"/>
          </w:tcPr>
          <w:p w14:paraId="2451AD0C" w14:textId="77777777" w:rsidR="009F642C" w:rsidRPr="00616E71" w:rsidRDefault="009F642C" w:rsidP="009F642C">
            <w:r>
              <w:t>Faculty Involvement, Promotion and Tenure</w:t>
            </w:r>
          </w:p>
        </w:tc>
        <w:tc>
          <w:tcPr>
            <w:tcW w:w="8010" w:type="dxa"/>
          </w:tcPr>
          <w:p w14:paraId="6C6874A2" w14:textId="0FFD6BF0" w:rsidR="009F642C" w:rsidRPr="00616E71" w:rsidRDefault="009F642C" w:rsidP="009F642C">
            <w:r>
              <w:t>1</w:t>
            </w:r>
            <w:r w:rsidR="001F444E">
              <w:t>1</w:t>
            </w:r>
            <w:bookmarkStart w:id="0" w:name="_GoBack"/>
            <w:bookmarkEnd w:id="0"/>
            <w:r w:rsidRPr="00616E71">
              <w:t>) Faculty development opportunities are available for faculty to retool their teaching and redesign their curricula to incorporate community-based activities and reflection on those activities within the context of the course.</w:t>
            </w:r>
          </w:p>
        </w:tc>
        <w:tc>
          <w:tcPr>
            <w:tcW w:w="1800" w:type="dxa"/>
          </w:tcPr>
          <w:p w14:paraId="7E4F4B6E" w14:textId="77777777" w:rsidR="009F642C" w:rsidRPr="00616E71" w:rsidRDefault="009F642C" w:rsidP="009F642C">
            <w:pPr>
              <w:jc w:val="center"/>
            </w:pPr>
          </w:p>
        </w:tc>
        <w:tc>
          <w:tcPr>
            <w:tcW w:w="2790" w:type="dxa"/>
          </w:tcPr>
          <w:p w14:paraId="430DC069" w14:textId="77777777" w:rsidR="009F642C" w:rsidRPr="00616E71" w:rsidRDefault="009F642C" w:rsidP="009F642C">
            <w:pPr>
              <w:jc w:val="center"/>
            </w:pPr>
          </w:p>
        </w:tc>
      </w:tr>
      <w:tr w:rsidR="009F642C" w:rsidRPr="00616E71" w14:paraId="6D396635" w14:textId="77777777" w:rsidTr="009F642C">
        <w:tc>
          <w:tcPr>
            <w:tcW w:w="1908" w:type="dxa"/>
            <w:vMerge/>
          </w:tcPr>
          <w:p w14:paraId="3C645711" w14:textId="77777777" w:rsidR="009F642C" w:rsidRPr="00616E71" w:rsidRDefault="009F642C" w:rsidP="009F642C"/>
        </w:tc>
        <w:tc>
          <w:tcPr>
            <w:tcW w:w="8010" w:type="dxa"/>
          </w:tcPr>
          <w:p w14:paraId="706D0B81" w14:textId="77777777" w:rsidR="009F642C" w:rsidRPr="00616E71" w:rsidRDefault="009F642C" w:rsidP="009F642C">
            <w:r>
              <w:t>12) Faculty roles and rewards embrace</w:t>
            </w:r>
            <w:r w:rsidRPr="00616E71">
              <w:t xml:space="preserve"> a scholarship of engagement that is incorporated into promotion and tenure guidelines and review.</w:t>
            </w:r>
          </w:p>
        </w:tc>
        <w:tc>
          <w:tcPr>
            <w:tcW w:w="1800" w:type="dxa"/>
          </w:tcPr>
          <w:p w14:paraId="225F417C" w14:textId="77777777" w:rsidR="009F642C" w:rsidRPr="00616E71" w:rsidRDefault="009F642C" w:rsidP="009F642C"/>
        </w:tc>
        <w:tc>
          <w:tcPr>
            <w:tcW w:w="2790" w:type="dxa"/>
          </w:tcPr>
          <w:p w14:paraId="3B6001FF" w14:textId="77777777" w:rsidR="009F642C" w:rsidRPr="00616E71" w:rsidRDefault="009F642C" w:rsidP="009F642C"/>
        </w:tc>
      </w:tr>
      <w:tr w:rsidR="009F642C" w:rsidRPr="00616E71" w14:paraId="1F64DD3B" w14:textId="77777777" w:rsidTr="009F642C">
        <w:tc>
          <w:tcPr>
            <w:tcW w:w="1908" w:type="dxa"/>
          </w:tcPr>
          <w:p w14:paraId="4E12DF89" w14:textId="77777777" w:rsidR="009F642C" w:rsidRPr="00616E71" w:rsidRDefault="009F642C" w:rsidP="009F642C">
            <w:r>
              <w:t>External Communications and Fundraising</w:t>
            </w:r>
          </w:p>
        </w:tc>
        <w:tc>
          <w:tcPr>
            <w:tcW w:w="8010" w:type="dxa"/>
          </w:tcPr>
          <w:p w14:paraId="45167458" w14:textId="77777777" w:rsidR="009F642C" w:rsidRDefault="009F642C" w:rsidP="009F642C">
            <w:r>
              <w:t>13) External communications highlight campus-community partnership and engagement, engagement is integral to fundraising goals and the economic impact of the institution is emphasized.</w:t>
            </w:r>
          </w:p>
        </w:tc>
        <w:tc>
          <w:tcPr>
            <w:tcW w:w="1800" w:type="dxa"/>
          </w:tcPr>
          <w:p w14:paraId="097A2B30" w14:textId="77777777" w:rsidR="009F642C" w:rsidRPr="00616E71" w:rsidRDefault="009F642C" w:rsidP="009F642C"/>
        </w:tc>
        <w:tc>
          <w:tcPr>
            <w:tcW w:w="2790" w:type="dxa"/>
          </w:tcPr>
          <w:p w14:paraId="2ED79466" w14:textId="77777777" w:rsidR="009F642C" w:rsidRPr="00616E71" w:rsidRDefault="009F642C" w:rsidP="009F642C"/>
        </w:tc>
      </w:tr>
    </w:tbl>
    <w:p w14:paraId="7B87E18B" w14:textId="77777777" w:rsidR="00443CE6" w:rsidRDefault="00443CE6" w:rsidP="009F642C">
      <w:pPr>
        <w:tabs>
          <w:tab w:val="left" w:pos="6648"/>
        </w:tabs>
      </w:pPr>
    </w:p>
    <w:sectPr w:rsidR="00443CE6" w:rsidSect="001F444E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587E" w14:textId="77777777" w:rsidR="00687075" w:rsidRDefault="00687075" w:rsidP="001F444E">
      <w:pPr>
        <w:spacing w:after="0" w:line="240" w:lineRule="auto"/>
      </w:pPr>
      <w:r>
        <w:separator/>
      </w:r>
    </w:p>
  </w:endnote>
  <w:endnote w:type="continuationSeparator" w:id="0">
    <w:p w14:paraId="43DABE07" w14:textId="77777777" w:rsidR="00687075" w:rsidRDefault="00687075" w:rsidP="001F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E1EE" w14:textId="77777777" w:rsidR="00687075" w:rsidRDefault="00687075" w:rsidP="001F444E">
      <w:pPr>
        <w:spacing w:after="0" w:line="240" w:lineRule="auto"/>
      </w:pPr>
      <w:r>
        <w:separator/>
      </w:r>
    </w:p>
  </w:footnote>
  <w:footnote w:type="continuationSeparator" w:id="0">
    <w:p w14:paraId="7D6EDBBF" w14:textId="77777777" w:rsidR="00687075" w:rsidRDefault="00687075" w:rsidP="001F4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24"/>
    <w:rsid w:val="001F444E"/>
    <w:rsid w:val="00430224"/>
    <w:rsid w:val="00443CE6"/>
    <w:rsid w:val="004861BC"/>
    <w:rsid w:val="006070F5"/>
    <w:rsid w:val="00687075"/>
    <w:rsid w:val="007B526E"/>
    <w:rsid w:val="007F153D"/>
    <w:rsid w:val="008C6B69"/>
    <w:rsid w:val="0094696C"/>
    <w:rsid w:val="009B07F6"/>
    <w:rsid w:val="009F642C"/>
    <w:rsid w:val="00CF7024"/>
    <w:rsid w:val="00F246D2"/>
    <w:rsid w:val="00F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3BEB"/>
  <w15:docId w15:val="{58C9018D-9959-4C3D-9557-F94A84C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4E"/>
  </w:style>
  <w:style w:type="paragraph" w:styleId="Footer">
    <w:name w:val="footer"/>
    <w:basedOn w:val="Normal"/>
    <w:link w:val="FooterChar"/>
    <w:uiPriority w:val="99"/>
    <w:unhideWhenUsed/>
    <w:rsid w:val="001F4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34CB-07AB-4572-9A0C-EE3CD681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Vanek, Josh</dc:creator>
  <cp:lastModifiedBy>Bren</cp:lastModifiedBy>
  <cp:revision>6</cp:revision>
  <dcterms:created xsi:type="dcterms:W3CDTF">2018-02-22T16:56:00Z</dcterms:created>
  <dcterms:modified xsi:type="dcterms:W3CDTF">2018-03-02T04:25:00Z</dcterms:modified>
</cp:coreProperties>
</file>